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962" w:rsidRPr="00055962" w:rsidRDefault="00055962" w:rsidP="00384446">
      <w:pPr>
        <w:tabs>
          <w:tab w:val="left" w:pos="4320"/>
        </w:tabs>
        <w:spacing w:after="0"/>
        <w:jc w:val="center"/>
        <w:rPr>
          <w:rFonts w:ascii="Palatino Linotype" w:eastAsia="Calibri" w:hAnsi="Palatino Linotype" w:cs="Times New Roman"/>
          <w:sz w:val="24"/>
          <w:szCs w:val="24"/>
        </w:rPr>
      </w:pPr>
      <w:r w:rsidRPr="00055962">
        <w:rPr>
          <w:rFonts w:ascii="Calibri" w:eastAsia="Calibri" w:hAnsi="Calibri" w:cs="Calibri"/>
          <w:b/>
          <w:noProof/>
          <w:sz w:val="24"/>
          <w:szCs w:val="24"/>
          <w:lang w:eastAsia="en-GB"/>
        </w:rPr>
        <w:drawing>
          <wp:inline distT="0" distB="0" distL="0" distR="0" wp14:anchorId="05B024C4" wp14:editId="517F379D">
            <wp:extent cx="900000" cy="6751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 logo u boj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0000" cy="675167"/>
                    </a:xfrm>
                    <a:prstGeom prst="rect">
                      <a:avLst/>
                    </a:prstGeom>
                  </pic:spPr>
                </pic:pic>
              </a:graphicData>
            </a:graphic>
          </wp:inline>
        </w:drawing>
      </w:r>
    </w:p>
    <w:p w:rsidR="00055962" w:rsidRPr="00055962" w:rsidRDefault="00055962" w:rsidP="00055962">
      <w:pPr>
        <w:spacing w:after="0"/>
        <w:jc w:val="center"/>
        <w:rPr>
          <w:rFonts w:ascii="Calibri" w:eastAsia="Calibri" w:hAnsi="Calibri" w:cs="Calibri"/>
          <w:b/>
          <w:color w:val="1F4E79"/>
          <w:sz w:val="20"/>
          <w:szCs w:val="20"/>
          <w:lang w:val="sr-Latn-ME"/>
        </w:rPr>
      </w:pPr>
      <w:r w:rsidRPr="00055962">
        <w:rPr>
          <w:rFonts w:ascii="Calibri" w:eastAsia="Calibri" w:hAnsi="Calibri" w:cs="Calibri"/>
          <w:b/>
          <w:color w:val="1F4E79"/>
          <w:sz w:val="20"/>
          <w:szCs w:val="20"/>
          <w:lang w:val="sr-Latn-ME"/>
        </w:rPr>
        <w:t xml:space="preserve">AGENCY FOR ELECTRONIC COMMUNICATIONS AND </w:t>
      </w:r>
    </w:p>
    <w:p w:rsidR="00055962" w:rsidRPr="00055962" w:rsidRDefault="00055962" w:rsidP="00055962">
      <w:pPr>
        <w:spacing w:after="0"/>
        <w:jc w:val="center"/>
        <w:rPr>
          <w:rFonts w:ascii="Calibri" w:eastAsia="Calibri" w:hAnsi="Calibri" w:cs="Calibri"/>
          <w:b/>
          <w:color w:val="1F4E79"/>
          <w:sz w:val="20"/>
          <w:szCs w:val="20"/>
          <w:lang w:val="sr-Latn-ME"/>
        </w:rPr>
      </w:pPr>
      <w:r w:rsidRPr="00055962">
        <w:rPr>
          <w:rFonts w:ascii="Calibri" w:eastAsia="Calibri" w:hAnsi="Calibri" w:cs="Calibri"/>
          <w:b/>
          <w:color w:val="1F4E79"/>
          <w:sz w:val="20"/>
          <w:szCs w:val="20"/>
          <w:lang w:val="sr-Latn-ME"/>
        </w:rPr>
        <w:t>POSTAL SERVICES</w:t>
      </w:r>
    </w:p>
    <w:p w:rsidR="00055962" w:rsidRPr="00055962" w:rsidRDefault="00055962" w:rsidP="00055962">
      <w:pPr>
        <w:spacing w:after="0"/>
        <w:jc w:val="both"/>
        <w:rPr>
          <w:rFonts w:ascii="Palatino Linotype" w:eastAsia="Calibri" w:hAnsi="Palatino Linotype" w:cs="Times New Roman"/>
          <w:sz w:val="24"/>
          <w:szCs w:val="24"/>
        </w:rPr>
      </w:pPr>
    </w:p>
    <w:p w:rsidR="00055962" w:rsidRPr="00055962" w:rsidRDefault="00055962" w:rsidP="00055962">
      <w:pPr>
        <w:spacing w:after="0"/>
        <w:jc w:val="both"/>
        <w:rPr>
          <w:rFonts w:ascii="Palatino Linotype" w:eastAsia="Calibri" w:hAnsi="Palatino Linotype" w:cs="Times New Roman"/>
          <w:sz w:val="24"/>
          <w:szCs w:val="24"/>
        </w:rPr>
      </w:pPr>
      <w:bookmarkStart w:id="0" w:name="_GoBack"/>
      <w:bookmarkEnd w:id="0"/>
    </w:p>
    <w:p w:rsidR="00055962" w:rsidRPr="00055962" w:rsidRDefault="00055962" w:rsidP="00055962">
      <w:pPr>
        <w:jc w:val="center"/>
        <w:rPr>
          <w:rFonts w:ascii="Calibri" w:eastAsia="Calibri" w:hAnsi="Calibri" w:cs="Calibri"/>
          <w:b/>
          <w:sz w:val="32"/>
          <w:szCs w:val="32"/>
          <w:lang w:val="sr-Latn-ME"/>
        </w:rPr>
      </w:pPr>
      <w:r w:rsidRPr="00055962">
        <w:rPr>
          <w:rFonts w:ascii="Calibri" w:eastAsia="Calibri" w:hAnsi="Calibri" w:cs="Calibri"/>
          <w:b/>
          <w:sz w:val="32"/>
          <w:szCs w:val="32"/>
          <w:lang w:val="sr-Latn-ME"/>
        </w:rPr>
        <w:t>PRESS RELEASE</w:t>
      </w:r>
    </w:p>
    <w:p w:rsidR="00055962" w:rsidRPr="00055962" w:rsidRDefault="00055962" w:rsidP="00055962">
      <w:pPr>
        <w:spacing w:after="0"/>
        <w:jc w:val="both"/>
        <w:rPr>
          <w:rFonts w:ascii="Palatino Linotype" w:eastAsia="Calibri" w:hAnsi="Palatino Linotype" w:cs="Times New Roman"/>
          <w:sz w:val="24"/>
          <w:szCs w:val="24"/>
        </w:rPr>
      </w:pPr>
    </w:p>
    <w:p w:rsidR="00055962" w:rsidRPr="00055962" w:rsidRDefault="00055962" w:rsidP="00055962">
      <w:pPr>
        <w:spacing w:after="0"/>
        <w:jc w:val="both"/>
        <w:rPr>
          <w:rFonts w:ascii="Palatino Linotype" w:eastAsia="Calibri" w:hAnsi="Palatino Linotype" w:cs="Times New Roman"/>
          <w:sz w:val="24"/>
          <w:szCs w:val="24"/>
        </w:rPr>
      </w:pPr>
      <w:r w:rsidRPr="00055962">
        <w:rPr>
          <w:rFonts w:ascii="Palatino Linotype" w:eastAsia="Calibri" w:hAnsi="Palatino Linotype" w:cs="Times New Roman"/>
          <w:sz w:val="24"/>
          <w:szCs w:val="24"/>
        </w:rPr>
        <w:t xml:space="preserve">The Agency for Electronic Communications and Postal Services of Montenegro (EKIP) organizes International Conference, titled „Current and Future Regulatory Challenges, Harmonisation with the European Regulatory Framework˝, to be held from 26 to 28 September 2022 in </w:t>
      </w:r>
      <w:proofErr w:type="spellStart"/>
      <w:r w:rsidRPr="00055962">
        <w:rPr>
          <w:rFonts w:ascii="Palatino Linotype" w:eastAsia="Calibri" w:hAnsi="Palatino Linotype" w:cs="Times New Roman"/>
          <w:sz w:val="24"/>
          <w:szCs w:val="24"/>
        </w:rPr>
        <w:t>Budva</w:t>
      </w:r>
      <w:proofErr w:type="spellEnd"/>
      <w:r w:rsidRPr="00055962">
        <w:rPr>
          <w:rFonts w:ascii="Palatino Linotype" w:eastAsia="Calibri" w:hAnsi="Palatino Linotype" w:cs="Times New Roman"/>
          <w:sz w:val="24"/>
          <w:szCs w:val="24"/>
        </w:rPr>
        <w:t xml:space="preserve">. </w:t>
      </w:r>
    </w:p>
    <w:p w:rsidR="00055962" w:rsidRPr="00055962" w:rsidRDefault="00055962" w:rsidP="00055962">
      <w:pPr>
        <w:spacing w:after="0"/>
        <w:jc w:val="both"/>
        <w:rPr>
          <w:rFonts w:ascii="Palatino Linotype" w:eastAsia="Calibri" w:hAnsi="Palatino Linotype" w:cs="Times New Roman"/>
          <w:sz w:val="24"/>
          <w:szCs w:val="24"/>
        </w:rPr>
      </w:pPr>
    </w:p>
    <w:p w:rsidR="00055962" w:rsidRPr="00055962" w:rsidRDefault="00055962" w:rsidP="00055962">
      <w:pPr>
        <w:spacing w:after="0"/>
        <w:jc w:val="both"/>
        <w:rPr>
          <w:rFonts w:ascii="Palatino Linotype" w:eastAsia="Calibri" w:hAnsi="Palatino Linotype" w:cs="Times New Roman"/>
          <w:sz w:val="24"/>
          <w:szCs w:val="24"/>
        </w:rPr>
      </w:pPr>
      <w:r w:rsidRPr="00055962">
        <w:rPr>
          <w:rFonts w:ascii="Palatino Linotype" w:eastAsia="Calibri" w:hAnsi="Palatino Linotype" w:cs="Times New Roman"/>
          <w:sz w:val="24"/>
          <w:szCs w:val="24"/>
        </w:rPr>
        <w:t>This year, the 19th</w:t>
      </w:r>
      <w:r w:rsidRPr="00055962">
        <w:rPr>
          <w:rFonts w:ascii="Palatino Linotype" w:eastAsia="Calibri" w:hAnsi="Palatino Linotype" w:cs="Times New Roman"/>
          <w:sz w:val="24"/>
          <w:szCs w:val="24"/>
          <w:vertAlign w:val="superscript"/>
        </w:rPr>
        <w:t xml:space="preserve"> </w:t>
      </w:r>
      <w:r w:rsidRPr="00055962">
        <w:rPr>
          <w:rFonts w:ascii="Palatino Linotype" w:eastAsia="Calibri" w:hAnsi="Palatino Linotype" w:cs="Times New Roman"/>
          <w:sz w:val="24"/>
          <w:szCs w:val="24"/>
        </w:rPr>
        <w:t>Conference will be held as one of the leading gatherings of regulators in the region of Central and South-eastern Europe, where various aspects of the regulation of electronic communications market are discussed.</w:t>
      </w:r>
    </w:p>
    <w:p w:rsidR="00055962" w:rsidRPr="00055962" w:rsidRDefault="00055962" w:rsidP="00055962">
      <w:pPr>
        <w:spacing w:after="0"/>
        <w:jc w:val="both"/>
        <w:rPr>
          <w:rFonts w:ascii="Palatino Linotype" w:eastAsia="Calibri" w:hAnsi="Palatino Linotype" w:cs="Times New Roman"/>
          <w:b/>
          <w:sz w:val="24"/>
          <w:szCs w:val="24"/>
        </w:rPr>
      </w:pPr>
    </w:p>
    <w:p w:rsidR="00055962" w:rsidRPr="00055962" w:rsidRDefault="00055962" w:rsidP="00055962">
      <w:pPr>
        <w:spacing w:after="0"/>
        <w:jc w:val="both"/>
        <w:rPr>
          <w:rFonts w:ascii="Palatino Linotype" w:eastAsia="Calibri" w:hAnsi="Palatino Linotype" w:cs="Times New Roman"/>
          <w:b/>
          <w:sz w:val="24"/>
          <w:szCs w:val="24"/>
        </w:rPr>
      </w:pPr>
      <w:r w:rsidRPr="00055962">
        <w:rPr>
          <w:rFonts w:ascii="Calibri" w:eastAsia="Calibri" w:hAnsi="Calibri" w:cs="Calibri"/>
          <w:noProof/>
          <w:sz w:val="24"/>
          <w:szCs w:val="24"/>
          <w:lang w:eastAsia="en-GB"/>
        </w:rPr>
        <w:drawing>
          <wp:inline distT="0" distB="0" distL="0" distR="0" wp14:anchorId="188555A8" wp14:editId="4E33DCC8">
            <wp:extent cx="5731510" cy="38017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Fest 2022 MNE.jpg"/>
                    <pic:cNvPicPr/>
                  </pic:nvPicPr>
                  <pic:blipFill>
                    <a:blip r:embed="rId5">
                      <a:extLst>
                        <a:ext uri="{28A0092B-C50C-407E-A947-70E740481C1C}">
                          <a14:useLocalDpi xmlns:a14="http://schemas.microsoft.com/office/drawing/2010/main" val="0"/>
                        </a:ext>
                      </a:extLst>
                    </a:blip>
                    <a:stretch>
                      <a:fillRect/>
                    </a:stretch>
                  </pic:blipFill>
                  <pic:spPr>
                    <a:xfrm>
                      <a:off x="0" y="0"/>
                      <a:ext cx="5731510" cy="3801745"/>
                    </a:xfrm>
                    <a:prstGeom prst="rect">
                      <a:avLst/>
                    </a:prstGeom>
                  </pic:spPr>
                </pic:pic>
              </a:graphicData>
            </a:graphic>
          </wp:inline>
        </w:drawing>
      </w:r>
    </w:p>
    <w:p w:rsidR="00055962" w:rsidRPr="00055962" w:rsidRDefault="00055962" w:rsidP="00055962">
      <w:pPr>
        <w:spacing w:after="0"/>
        <w:jc w:val="both"/>
        <w:rPr>
          <w:rFonts w:ascii="Palatino Linotype" w:eastAsia="Calibri" w:hAnsi="Palatino Linotype" w:cs="Times New Roman"/>
          <w:b/>
          <w:sz w:val="24"/>
          <w:szCs w:val="24"/>
        </w:rPr>
      </w:pPr>
    </w:p>
    <w:p w:rsidR="00055962" w:rsidRPr="00055962" w:rsidRDefault="00055962" w:rsidP="00055962">
      <w:pPr>
        <w:spacing w:after="0"/>
        <w:jc w:val="both"/>
        <w:rPr>
          <w:rFonts w:ascii="Palatino Linotype" w:eastAsia="Calibri" w:hAnsi="Palatino Linotype" w:cs="Times New Roman"/>
          <w:sz w:val="24"/>
          <w:szCs w:val="24"/>
        </w:rPr>
      </w:pPr>
      <w:r w:rsidRPr="00055962">
        <w:rPr>
          <w:rFonts w:ascii="Palatino Linotype" w:eastAsia="Calibri" w:hAnsi="Palatino Linotype" w:cs="Times New Roman"/>
          <w:sz w:val="24"/>
          <w:szCs w:val="24"/>
        </w:rPr>
        <w:t xml:space="preserve">This year, as part of the official program, eight program sessions will be held covering current and useful topics both for Montenegro and for the Region. These issues have been structured in the manner to be addressed from the engineering, economic and </w:t>
      </w:r>
      <w:r w:rsidRPr="00055962">
        <w:rPr>
          <w:rFonts w:ascii="Palatino Linotype" w:eastAsia="Calibri" w:hAnsi="Palatino Linotype" w:cs="Times New Roman"/>
          <w:sz w:val="24"/>
          <w:szCs w:val="24"/>
        </w:rPr>
        <w:lastRenderedPageBreak/>
        <w:t>legal regulation aspects. This will be a great occasion for experts – engineers coming from national regulatory bodies, operators and international institutions, to share their experiences on 5G implementation, greater network accessibility and service quality, digital transformation and development of broadband access and electronic communications infrastructure, safety and security of electronic communications networks and services, introduction and implementation challenges of digital radio, focusing specifically on the practise and harmonization with the European regulations relevant for these matters. Furthermore, Conference</w:t>
      </w:r>
      <w:r w:rsidR="00E420BE">
        <w:rPr>
          <w:rFonts w:ascii="Palatino Linotype" w:eastAsia="Calibri" w:hAnsi="Palatino Linotype" w:cs="Times New Roman"/>
          <w:sz w:val="24"/>
          <w:szCs w:val="24"/>
        </w:rPr>
        <w:t xml:space="preserve"> attendees</w:t>
      </w:r>
      <w:r w:rsidRPr="00055962">
        <w:rPr>
          <w:rFonts w:ascii="Palatino Linotype" w:eastAsia="Calibri" w:hAnsi="Palatino Linotype" w:cs="Times New Roman"/>
          <w:sz w:val="24"/>
          <w:szCs w:val="24"/>
        </w:rPr>
        <w:t xml:space="preserve"> will deal with the issues related to strengthening user protection, promotion of competitive market, market analysis, and applied regulatory measures, as well as with the results and benefits of the implementation of international roaming (RLAH) between the Western Balkan countries (WB6), and further activities on concluding adequate roaming agreement between WB6 countries and the EU members.</w:t>
      </w:r>
    </w:p>
    <w:p w:rsidR="00055962" w:rsidRPr="00055962" w:rsidRDefault="00055962" w:rsidP="00055962">
      <w:pPr>
        <w:spacing w:after="0"/>
        <w:jc w:val="both"/>
        <w:rPr>
          <w:rFonts w:ascii="Palatino Linotype" w:eastAsia="Calibri" w:hAnsi="Palatino Linotype" w:cs="Times New Roman"/>
          <w:sz w:val="24"/>
          <w:szCs w:val="24"/>
        </w:rPr>
      </w:pPr>
    </w:p>
    <w:p w:rsidR="00055962" w:rsidRPr="00055962" w:rsidRDefault="00055962" w:rsidP="00055962">
      <w:pPr>
        <w:spacing w:after="0"/>
        <w:jc w:val="both"/>
        <w:rPr>
          <w:rFonts w:ascii="Palatino Linotype" w:eastAsia="Calibri" w:hAnsi="Palatino Linotype" w:cs="Times New Roman"/>
          <w:sz w:val="24"/>
          <w:szCs w:val="24"/>
        </w:rPr>
      </w:pPr>
      <w:r w:rsidRPr="00055962">
        <w:rPr>
          <w:rFonts w:ascii="Palatino Linotype" w:eastAsia="Calibri" w:hAnsi="Palatino Linotype" w:cs="Times New Roman"/>
          <w:sz w:val="24"/>
          <w:szCs w:val="24"/>
        </w:rPr>
        <w:t xml:space="preserve">The interest in participating in the Conference is exceptional, so this year we have witnessed the highest interest in the Conference compared to 18 conferences previously held. About 150 participants are expected to come. In the Conference will participate: the representatives of 13 national regulatory agencies, 2 ministries and 1 state administration, 3 international institutions (ITU, </w:t>
      </w:r>
      <w:proofErr w:type="spellStart"/>
      <w:r w:rsidRPr="00055962">
        <w:rPr>
          <w:rFonts w:ascii="Palatino Linotype" w:eastAsia="Calibri" w:hAnsi="Palatino Linotype" w:cs="Times New Roman"/>
          <w:sz w:val="24"/>
          <w:szCs w:val="24"/>
        </w:rPr>
        <w:t>WorldDAB</w:t>
      </w:r>
      <w:proofErr w:type="spellEnd"/>
      <w:r w:rsidRPr="00055962">
        <w:rPr>
          <w:rFonts w:ascii="Palatino Linotype" w:eastAsia="Calibri" w:hAnsi="Palatino Linotype" w:cs="Times New Roman"/>
          <w:sz w:val="24"/>
          <w:szCs w:val="24"/>
        </w:rPr>
        <w:t xml:space="preserve">, </w:t>
      </w:r>
      <w:proofErr w:type="gramStart"/>
      <w:r w:rsidRPr="00055962">
        <w:rPr>
          <w:rFonts w:ascii="Palatino Linotype" w:eastAsia="Calibri" w:hAnsi="Palatino Linotype" w:cs="Times New Roman"/>
          <w:sz w:val="24"/>
          <w:szCs w:val="24"/>
        </w:rPr>
        <w:t>RCC</w:t>
      </w:r>
      <w:proofErr w:type="gramEnd"/>
      <w:r w:rsidRPr="00055962">
        <w:rPr>
          <w:rFonts w:ascii="Palatino Linotype" w:eastAsia="Calibri" w:hAnsi="Palatino Linotype" w:cs="Times New Roman"/>
          <w:sz w:val="24"/>
          <w:szCs w:val="24"/>
        </w:rPr>
        <w:t xml:space="preserve">), 11 companies, 7 operators, while 29 presentations will be held by the experts. In total, the Conference will be attended by the participants from 15 countries.      </w:t>
      </w:r>
    </w:p>
    <w:p w:rsidR="00055962" w:rsidRPr="00055962" w:rsidRDefault="00055962" w:rsidP="00055962">
      <w:pPr>
        <w:spacing w:after="0"/>
        <w:jc w:val="both"/>
        <w:rPr>
          <w:rFonts w:ascii="Palatino Linotype" w:eastAsia="Calibri" w:hAnsi="Palatino Linotype" w:cs="Times New Roman"/>
          <w:sz w:val="24"/>
          <w:szCs w:val="24"/>
        </w:rPr>
      </w:pPr>
    </w:p>
    <w:p w:rsidR="00055962" w:rsidRPr="00055962" w:rsidRDefault="00055962" w:rsidP="00055962">
      <w:pPr>
        <w:spacing w:after="0"/>
        <w:jc w:val="both"/>
        <w:rPr>
          <w:rFonts w:ascii="Palatino Linotype" w:eastAsia="Calibri" w:hAnsi="Palatino Linotype" w:cs="Times New Roman"/>
          <w:sz w:val="24"/>
          <w:szCs w:val="24"/>
        </w:rPr>
      </w:pPr>
      <w:r w:rsidRPr="00055962">
        <w:rPr>
          <w:rFonts w:ascii="Palatino Linotype" w:eastAsia="Calibri" w:hAnsi="Palatino Linotype" w:cs="Times New Roman"/>
          <w:sz w:val="24"/>
          <w:szCs w:val="24"/>
        </w:rPr>
        <w:t xml:space="preserve">The Conference will be opened by Mr. Branko </w:t>
      </w:r>
      <w:proofErr w:type="spellStart"/>
      <w:r w:rsidRPr="00055962">
        <w:rPr>
          <w:rFonts w:ascii="Palatino Linotype" w:eastAsia="Calibri" w:hAnsi="Palatino Linotype" w:cs="Times New Roman"/>
          <w:sz w:val="24"/>
          <w:szCs w:val="24"/>
        </w:rPr>
        <w:t>Kovijanić</w:t>
      </w:r>
      <w:proofErr w:type="spellEnd"/>
      <w:r w:rsidRPr="00055962">
        <w:rPr>
          <w:rFonts w:ascii="Palatino Linotype" w:eastAsia="Calibri" w:hAnsi="Palatino Linotype" w:cs="Times New Roman"/>
          <w:sz w:val="24"/>
          <w:szCs w:val="24"/>
        </w:rPr>
        <w:t xml:space="preserve">, President of the Council of EKIP, and the participants will be also greeted by nine directors, </w:t>
      </w:r>
      <w:r w:rsidR="002F7025">
        <w:rPr>
          <w:rFonts w:ascii="Palatino Linotype" w:eastAsia="Calibri" w:hAnsi="Palatino Linotype" w:cs="Times New Roman"/>
          <w:sz w:val="24"/>
          <w:szCs w:val="24"/>
        </w:rPr>
        <w:t>presidents, or</w:t>
      </w:r>
      <w:r w:rsidRPr="00055962">
        <w:rPr>
          <w:rFonts w:ascii="Palatino Linotype" w:eastAsia="Calibri" w:hAnsi="Palatino Linotype" w:cs="Times New Roman"/>
          <w:sz w:val="24"/>
          <w:szCs w:val="24"/>
        </w:rPr>
        <w:t xml:space="preserve"> members of the Councils and Boards of Directors of the agencies which will take part in the Conference.</w:t>
      </w:r>
    </w:p>
    <w:p w:rsidR="00055962" w:rsidRPr="00055962" w:rsidRDefault="00055962" w:rsidP="00055962">
      <w:pPr>
        <w:spacing w:after="0"/>
        <w:jc w:val="both"/>
        <w:rPr>
          <w:rFonts w:ascii="Palatino Linotype" w:eastAsia="Calibri" w:hAnsi="Palatino Linotype" w:cs="Times New Roman"/>
          <w:sz w:val="24"/>
          <w:szCs w:val="24"/>
        </w:rPr>
      </w:pPr>
    </w:p>
    <w:p w:rsidR="00055962" w:rsidRPr="00055962" w:rsidRDefault="00055962" w:rsidP="00055962">
      <w:pPr>
        <w:spacing w:after="0"/>
        <w:jc w:val="both"/>
        <w:rPr>
          <w:rFonts w:ascii="Palatino Linotype" w:eastAsia="Calibri" w:hAnsi="Palatino Linotype" w:cs="Times New Roman"/>
          <w:sz w:val="24"/>
          <w:szCs w:val="24"/>
        </w:rPr>
      </w:pPr>
      <w:r w:rsidRPr="00055962">
        <w:rPr>
          <w:rFonts w:ascii="Palatino Linotype" w:eastAsia="Calibri" w:hAnsi="Palatino Linotype" w:cs="Times New Roman"/>
          <w:sz w:val="24"/>
          <w:szCs w:val="24"/>
        </w:rPr>
        <w:t xml:space="preserve">As in previous years, the leading Montenegrin operators - </w:t>
      </w:r>
      <w:proofErr w:type="spellStart"/>
      <w:r w:rsidRPr="00055962">
        <w:rPr>
          <w:rFonts w:ascii="Palatino Linotype" w:eastAsia="Calibri" w:hAnsi="Palatino Linotype" w:cs="Times New Roman"/>
          <w:sz w:val="24"/>
          <w:szCs w:val="24"/>
        </w:rPr>
        <w:t>Crnogorski</w:t>
      </w:r>
      <w:proofErr w:type="spellEnd"/>
      <w:r w:rsidRPr="00055962">
        <w:rPr>
          <w:rFonts w:ascii="Palatino Linotype" w:eastAsia="Calibri" w:hAnsi="Palatino Linotype" w:cs="Times New Roman"/>
          <w:sz w:val="24"/>
          <w:szCs w:val="24"/>
        </w:rPr>
        <w:t xml:space="preserve"> Telekom, One </w:t>
      </w:r>
      <w:proofErr w:type="spellStart"/>
      <w:r w:rsidRPr="00055962">
        <w:rPr>
          <w:rFonts w:ascii="Palatino Linotype" w:eastAsia="Calibri" w:hAnsi="Palatino Linotype" w:cs="Times New Roman"/>
          <w:sz w:val="24"/>
          <w:szCs w:val="24"/>
        </w:rPr>
        <w:t>Crna</w:t>
      </w:r>
      <w:proofErr w:type="spellEnd"/>
      <w:r w:rsidRPr="00055962">
        <w:rPr>
          <w:rFonts w:ascii="Palatino Linotype" w:eastAsia="Calibri" w:hAnsi="Palatino Linotype" w:cs="Times New Roman"/>
          <w:sz w:val="24"/>
          <w:szCs w:val="24"/>
        </w:rPr>
        <w:t xml:space="preserve"> Gora and </w:t>
      </w:r>
      <w:proofErr w:type="spellStart"/>
      <w:r w:rsidRPr="00055962">
        <w:rPr>
          <w:rFonts w:ascii="Palatino Linotype" w:eastAsia="Calibri" w:hAnsi="Palatino Linotype" w:cs="Times New Roman"/>
          <w:sz w:val="24"/>
          <w:szCs w:val="24"/>
        </w:rPr>
        <w:t>Telemach</w:t>
      </w:r>
      <w:proofErr w:type="spellEnd"/>
      <w:r w:rsidRPr="00055962">
        <w:rPr>
          <w:rFonts w:ascii="Palatino Linotype" w:eastAsia="Calibri" w:hAnsi="Palatino Linotype" w:cs="Times New Roman"/>
          <w:sz w:val="24"/>
          <w:szCs w:val="24"/>
        </w:rPr>
        <w:t xml:space="preserve"> have supported EKIP in the organization of the Conference itself and together they will all host the gala dinner organized for</w:t>
      </w:r>
      <w:r w:rsidR="00E420BE">
        <w:rPr>
          <w:rFonts w:ascii="Palatino Linotype" w:eastAsia="Calibri" w:hAnsi="Palatino Linotype" w:cs="Times New Roman"/>
          <w:sz w:val="24"/>
          <w:szCs w:val="24"/>
        </w:rPr>
        <w:t xml:space="preserve"> all </w:t>
      </w:r>
      <w:r w:rsidRPr="00055962">
        <w:rPr>
          <w:rFonts w:ascii="Palatino Linotype" w:eastAsia="Calibri" w:hAnsi="Palatino Linotype" w:cs="Times New Roman"/>
          <w:sz w:val="24"/>
          <w:szCs w:val="24"/>
        </w:rPr>
        <w:t>Conference</w:t>
      </w:r>
      <w:r w:rsidR="00E420BE">
        <w:rPr>
          <w:rFonts w:ascii="Palatino Linotype" w:eastAsia="Calibri" w:hAnsi="Palatino Linotype" w:cs="Times New Roman"/>
          <w:sz w:val="24"/>
          <w:szCs w:val="24"/>
        </w:rPr>
        <w:t xml:space="preserve"> participants</w:t>
      </w:r>
      <w:r w:rsidRPr="00055962">
        <w:rPr>
          <w:rFonts w:ascii="Palatino Linotype" w:eastAsia="Calibri" w:hAnsi="Palatino Linotype" w:cs="Times New Roman"/>
          <w:sz w:val="24"/>
          <w:szCs w:val="24"/>
        </w:rPr>
        <w:t>.</w:t>
      </w:r>
      <w:r w:rsidR="00E420BE">
        <w:rPr>
          <w:rFonts w:ascii="Palatino Linotype" w:eastAsia="Calibri" w:hAnsi="Palatino Linotype" w:cs="Times New Roman"/>
          <w:sz w:val="24"/>
          <w:szCs w:val="24"/>
        </w:rPr>
        <w:t xml:space="preserve"> </w:t>
      </w:r>
      <w:r w:rsidRPr="00055962">
        <w:rPr>
          <w:rFonts w:ascii="Palatino Linotype" w:eastAsia="Calibri" w:hAnsi="Palatino Linotype" w:cs="Times New Roman"/>
          <w:sz w:val="24"/>
          <w:szCs w:val="24"/>
        </w:rPr>
        <w:t xml:space="preserve"> </w:t>
      </w:r>
    </w:p>
    <w:p w:rsidR="00055962" w:rsidRPr="00055962" w:rsidRDefault="00055962" w:rsidP="00055962">
      <w:pPr>
        <w:spacing w:after="0"/>
        <w:jc w:val="both"/>
        <w:rPr>
          <w:rFonts w:ascii="Palatino Linotype" w:eastAsia="Calibri" w:hAnsi="Palatino Linotype" w:cs="Times New Roman"/>
          <w:sz w:val="24"/>
          <w:szCs w:val="24"/>
        </w:rPr>
      </w:pPr>
    </w:p>
    <w:p w:rsidR="006A12DA" w:rsidRDefault="00384446"/>
    <w:sectPr w:rsidR="006A1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70"/>
    <w:rsid w:val="00055962"/>
    <w:rsid w:val="002F7025"/>
    <w:rsid w:val="00384446"/>
    <w:rsid w:val="004B0FAD"/>
    <w:rsid w:val="00A92870"/>
    <w:rsid w:val="00AE07B3"/>
    <w:rsid w:val="00C96F8F"/>
    <w:rsid w:val="00E42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0590F-2D42-427D-A023-DC28FB46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447</Words>
  <Characters>2550</Characters>
  <Application>Microsoft Office Word</Application>
  <DocSecurity>0</DocSecurity>
  <Lines>21</Lines>
  <Paragraphs>5</Paragraphs>
  <ScaleCrop>false</ScaleCrop>
  <Company>HP Inc.</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Hajdukovic</dc:creator>
  <cp:keywords/>
  <dc:description/>
  <cp:lastModifiedBy>Tamara Hajdukovic</cp:lastModifiedBy>
  <cp:revision>26</cp:revision>
  <dcterms:created xsi:type="dcterms:W3CDTF">2022-09-21T11:10:00Z</dcterms:created>
  <dcterms:modified xsi:type="dcterms:W3CDTF">2022-09-21T11:19:00Z</dcterms:modified>
</cp:coreProperties>
</file>